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tblCellMar>
          <w:top w:w="15" w:type="dxa"/>
          <w:left w:w="15" w:type="dxa"/>
          <w:bottom w:w="15" w:type="dxa"/>
          <w:right w:w="15" w:type="dxa"/>
        </w:tblCellMar>
        <w:tblLook w:val="04A0" w:firstRow="1" w:lastRow="0" w:firstColumn="1" w:lastColumn="0" w:noHBand="0" w:noVBand="1"/>
      </w:tblPr>
      <w:tblGrid>
        <w:gridCol w:w="1091"/>
        <w:gridCol w:w="7801"/>
      </w:tblGrid>
      <w:tr w:rsidR="00482F6B" w:rsidRPr="00482F6B" w14:paraId="4C1F1CAE" w14:textId="77777777" w:rsidTr="00482F6B">
        <w:tc>
          <w:tcPr>
            <w:tcW w:w="0" w:type="auto"/>
            <w:tcMar>
              <w:top w:w="48" w:type="dxa"/>
              <w:left w:w="48" w:type="dxa"/>
              <w:bottom w:w="48" w:type="dxa"/>
              <w:right w:w="48" w:type="dxa"/>
            </w:tcMar>
            <w:hideMark/>
          </w:tcPr>
          <w:p w14:paraId="09108CE7" w14:textId="77777777" w:rsidR="00482F6B" w:rsidRPr="00482F6B" w:rsidRDefault="00482F6B" w:rsidP="00482F6B">
            <w:pPr>
              <w:spacing w:after="0" w:line="240" w:lineRule="auto"/>
              <w:rPr>
                <w:rFonts w:ascii="Arial" w:eastAsia="Times New Roman" w:hAnsi="Arial" w:cs="Arial"/>
                <w:b/>
                <w:bCs/>
                <w:color w:val="0000FF"/>
                <w:sz w:val="24"/>
                <w:szCs w:val="24"/>
              </w:rPr>
            </w:pPr>
            <w:r w:rsidRPr="00482F6B">
              <w:rPr>
                <w:rFonts w:ascii="Arial" w:eastAsia="Times New Roman" w:hAnsi="Arial" w:cs="Arial"/>
                <w:b/>
                <w:bCs/>
                <w:color w:val="0000FF"/>
                <w:sz w:val="24"/>
                <w:szCs w:val="24"/>
              </w:rPr>
              <w:t>Column 1</w:t>
            </w:r>
          </w:p>
        </w:tc>
        <w:tc>
          <w:tcPr>
            <w:tcW w:w="0" w:type="auto"/>
            <w:tcBorders>
              <w:bottom w:val="nil"/>
            </w:tcBorders>
            <w:tcMar>
              <w:top w:w="48" w:type="dxa"/>
              <w:left w:w="48" w:type="dxa"/>
              <w:bottom w:w="48" w:type="dxa"/>
              <w:right w:w="48" w:type="dxa"/>
            </w:tcMar>
            <w:hideMark/>
          </w:tcPr>
          <w:p w14:paraId="5AFA370F"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UN Number.</w:t>
            </w:r>
            <w:r w:rsidRPr="00482F6B">
              <w:rPr>
                <w:rFonts w:ascii="Arial" w:eastAsia="Times New Roman" w:hAnsi="Arial" w:cs="Arial"/>
                <w:b/>
                <w:bCs/>
                <w:color w:val="FF0000"/>
              </w:rPr>
              <w:t xml:space="preserve"> </w:t>
            </w:r>
            <w:r w:rsidRPr="00482F6B">
              <w:rPr>
                <w:rFonts w:ascii="Arial" w:eastAsia="Times New Roman" w:hAnsi="Arial" w:cs="Arial"/>
                <w:b/>
                <w:bCs/>
              </w:rPr>
              <w:t>This column gives the UN numbers for the shipping names of the dangerous goods. The shipping names are listed in alphabetical order in Schedule 3.</w:t>
            </w:r>
          </w:p>
        </w:tc>
      </w:tr>
      <w:tr w:rsidR="00482F6B" w:rsidRPr="00482F6B" w14:paraId="3D0387C1" w14:textId="77777777" w:rsidTr="00482F6B">
        <w:tc>
          <w:tcPr>
            <w:tcW w:w="0" w:type="auto"/>
            <w:tcMar>
              <w:top w:w="48" w:type="dxa"/>
              <w:left w:w="48" w:type="dxa"/>
              <w:bottom w:w="48" w:type="dxa"/>
              <w:right w:w="48" w:type="dxa"/>
            </w:tcMar>
            <w:hideMark/>
          </w:tcPr>
          <w:p w14:paraId="609C1E12" w14:textId="77777777" w:rsidR="00482F6B" w:rsidRPr="00482F6B" w:rsidRDefault="00482F6B" w:rsidP="00482F6B">
            <w:pPr>
              <w:spacing w:after="0" w:line="240" w:lineRule="auto"/>
              <w:rPr>
                <w:rFonts w:ascii="Arial" w:eastAsia="Times New Roman" w:hAnsi="Arial" w:cs="Arial"/>
                <w:b/>
                <w:bCs/>
                <w:sz w:val="24"/>
                <w:szCs w:val="24"/>
              </w:rPr>
            </w:pPr>
            <w:r w:rsidRPr="00482F6B">
              <w:rPr>
                <w:rFonts w:ascii="Arial" w:eastAsia="Times New Roman" w:hAnsi="Arial" w:cs="Arial"/>
                <w:b/>
                <w:bCs/>
                <w:color w:val="0000FF"/>
                <w:sz w:val="24"/>
                <w:szCs w:val="24"/>
              </w:rPr>
              <w:t>Column 2</w:t>
            </w:r>
          </w:p>
        </w:tc>
        <w:tc>
          <w:tcPr>
            <w:tcW w:w="0" w:type="auto"/>
            <w:tcBorders>
              <w:bottom w:val="nil"/>
            </w:tcBorders>
            <w:tcMar>
              <w:top w:w="48" w:type="dxa"/>
              <w:left w:w="48" w:type="dxa"/>
              <w:bottom w:w="48" w:type="dxa"/>
              <w:right w:w="48" w:type="dxa"/>
            </w:tcMar>
            <w:hideMark/>
          </w:tcPr>
          <w:p w14:paraId="603A70BA"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Shipping Name and Description.</w:t>
            </w:r>
            <w:r w:rsidRPr="00482F6B">
              <w:rPr>
                <w:rFonts w:ascii="Arial" w:eastAsia="Times New Roman" w:hAnsi="Arial" w:cs="Arial"/>
                <w:b/>
                <w:bCs/>
                <w:color w:val="A50021"/>
              </w:rPr>
              <w:t xml:space="preserve"> </w:t>
            </w:r>
            <w:r w:rsidRPr="00482F6B">
              <w:rPr>
                <w:rFonts w:ascii="Arial" w:eastAsia="Times New Roman" w:hAnsi="Arial" w:cs="Arial"/>
                <w:b/>
                <w:bCs/>
              </w:rPr>
              <w:t>This column gives the shipping names for the dangerous goods. Each shipping name is written in upper case letters (capitals) and any descriptive text is written in lower case letters. The word “or” between shipping names indicates that there is more than one shipping name for the dangerous goods and that each shipping name is correct. Any one of the shipping names may be used, for example, to complete a shipping document.</w:t>
            </w:r>
          </w:p>
        </w:tc>
      </w:tr>
      <w:tr w:rsidR="00482F6B" w:rsidRPr="00482F6B" w14:paraId="36DE34C6" w14:textId="77777777" w:rsidTr="00482F6B">
        <w:tc>
          <w:tcPr>
            <w:tcW w:w="0" w:type="auto"/>
            <w:vMerge w:val="restart"/>
            <w:tcMar>
              <w:top w:w="48" w:type="dxa"/>
              <w:left w:w="48" w:type="dxa"/>
              <w:bottom w:w="48" w:type="dxa"/>
              <w:right w:w="48" w:type="dxa"/>
            </w:tcMar>
            <w:hideMark/>
          </w:tcPr>
          <w:p w14:paraId="4B7BDE70" w14:textId="77777777" w:rsidR="00482F6B" w:rsidRPr="00482F6B" w:rsidRDefault="00482F6B" w:rsidP="00482F6B">
            <w:pPr>
              <w:spacing w:after="0" w:line="240" w:lineRule="auto"/>
              <w:rPr>
                <w:rFonts w:ascii="Arial" w:eastAsia="Times New Roman" w:hAnsi="Arial" w:cs="Arial"/>
                <w:b/>
                <w:bCs/>
                <w:sz w:val="24"/>
                <w:szCs w:val="24"/>
              </w:rPr>
            </w:pPr>
            <w:r w:rsidRPr="00482F6B">
              <w:rPr>
                <w:rFonts w:ascii="Arial" w:eastAsia="Times New Roman" w:hAnsi="Arial" w:cs="Arial"/>
                <w:b/>
                <w:bCs/>
                <w:color w:val="0000FF"/>
                <w:sz w:val="24"/>
                <w:szCs w:val="24"/>
              </w:rPr>
              <w:t>Column 3</w:t>
            </w:r>
          </w:p>
        </w:tc>
        <w:tc>
          <w:tcPr>
            <w:tcW w:w="0" w:type="auto"/>
            <w:tcBorders>
              <w:bottom w:val="nil"/>
            </w:tcBorders>
            <w:tcMar>
              <w:top w:w="48" w:type="dxa"/>
              <w:left w:w="48" w:type="dxa"/>
              <w:bottom w:w="48" w:type="dxa"/>
              <w:right w:w="48" w:type="dxa"/>
            </w:tcMar>
            <w:hideMark/>
          </w:tcPr>
          <w:p w14:paraId="6A115B08"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Class.</w:t>
            </w:r>
            <w:r w:rsidRPr="00482F6B">
              <w:rPr>
                <w:rFonts w:ascii="Arial" w:eastAsia="Times New Roman" w:hAnsi="Arial" w:cs="Arial"/>
                <w:b/>
                <w:bCs/>
                <w:color w:val="A50021"/>
              </w:rPr>
              <w:t xml:space="preserve"> </w:t>
            </w:r>
            <w:r w:rsidRPr="00482F6B">
              <w:rPr>
                <w:rFonts w:ascii="Arial" w:eastAsia="Times New Roman" w:hAnsi="Arial" w:cs="Arial"/>
                <w:b/>
                <w:bCs/>
              </w:rPr>
              <w:t>This column gives the primary class for the dangerous goods. Any subsidiary class is shown in parentheses under the primary class. There is no priority between or among subsidiary classes.</w:t>
            </w:r>
          </w:p>
        </w:tc>
      </w:tr>
      <w:tr w:rsidR="00482F6B" w:rsidRPr="00482F6B" w14:paraId="0E2EA20F" w14:textId="77777777" w:rsidTr="00482F6B">
        <w:tc>
          <w:tcPr>
            <w:tcW w:w="0" w:type="auto"/>
            <w:vMerge/>
            <w:hideMark/>
          </w:tcPr>
          <w:p w14:paraId="059B54DE" w14:textId="77777777" w:rsidR="00482F6B" w:rsidRPr="00482F6B" w:rsidRDefault="00482F6B" w:rsidP="00482F6B">
            <w:pPr>
              <w:spacing w:after="48" w:line="240" w:lineRule="auto"/>
              <w:rPr>
                <w:rFonts w:ascii="Arial" w:eastAsia="Times New Roman" w:hAnsi="Arial" w:cs="Arial"/>
                <w:b/>
                <w:bCs/>
              </w:rPr>
            </w:pPr>
          </w:p>
        </w:tc>
        <w:tc>
          <w:tcPr>
            <w:tcW w:w="0" w:type="auto"/>
            <w:tcBorders>
              <w:bottom w:val="nil"/>
            </w:tcBorders>
            <w:tcMar>
              <w:top w:w="48" w:type="dxa"/>
              <w:left w:w="48" w:type="dxa"/>
              <w:bottom w:w="48" w:type="dxa"/>
              <w:right w:w="48" w:type="dxa"/>
            </w:tcMar>
            <w:hideMark/>
          </w:tcPr>
          <w:p w14:paraId="33138052"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 xml:space="preserve">The word </w:t>
            </w:r>
            <w:r w:rsidRPr="00482F6B">
              <w:rPr>
                <w:rFonts w:ascii="Arial" w:eastAsia="Times New Roman" w:hAnsi="Arial" w:cs="Arial"/>
                <w:b/>
                <w:bCs/>
                <w:color w:val="C00000"/>
                <w:highlight w:val="yellow"/>
              </w:rPr>
              <w:t>“Forbidden”</w:t>
            </w:r>
            <w:r w:rsidRPr="00482F6B">
              <w:rPr>
                <w:rFonts w:ascii="Arial" w:eastAsia="Times New Roman" w:hAnsi="Arial" w:cs="Arial"/>
                <w:b/>
                <w:bCs/>
                <w:color w:val="C00000"/>
              </w:rPr>
              <w:t xml:space="preserve"> </w:t>
            </w:r>
            <w:r w:rsidRPr="00482F6B">
              <w:rPr>
                <w:rFonts w:ascii="Arial" w:eastAsia="Times New Roman" w:hAnsi="Arial" w:cs="Arial"/>
                <w:b/>
                <w:bCs/>
              </w:rPr>
              <w:t xml:space="preserve">in this column means that the dangerous goods must not be transported. </w:t>
            </w:r>
            <w:r w:rsidRPr="00482F6B">
              <w:rPr>
                <w:rFonts w:ascii="Arial" w:eastAsia="Times New Roman" w:hAnsi="Arial" w:cs="Arial"/>
                <w:b/>
                <w:bCs/>
                <w:color w:val="0000FF"/>
              </w:rPr>
              <w:t>Schedule 3 includes dangerous goods that are forbidden for transport but that do not have a UN number.</w:t>
            </w:r>
          </w:p>
        </w:tc>
      </w:tr>
      <w:tr w:rsidR="00482F6B" w:rsidRPr="00482F6B" w14:paraId="315CA17D" w14:textId="77777777" w:rsidTr="00482F6B">
        <w:tc>
          <w:tcPr>
            <w:tcW w:w="0" w:type="auto"/>
            <w:tcMar>
              <w:top w:w="48" w:type="dxa"/>
              <w:left w:w="48" w:type="dxa"/>
              <w:bottom w:w="48" w:type="dxa"/>
              <w:right w:w="48" w:type="dxa"/>
            </w:tcMar>
            <w:hideMark/>
          </w:tcPr>
          <w:p w14:paraId="2E0BCBE1" w14:textId="77777777" w:rsidR="00482F6B" w:rsidRPr="00482F6B" w:rsidRDefault="00482F6B" w:rsidP="00482F6B">
            <w:pPr>
              <w:spacing w:after="0" w:line="240" w:lineRule="auto"/>
              <w:rPr>
                <w:rFonts w:ascii="Arial" w:eastAsia="Times New Roman" w:hAnsi="Arial" w:cs="Arial"/>
                <w:b/>
                <w:bCs/>
                <w:sz w:val="24"/>
                <w:szCs w:val="24"/>
              </w:rPr>
            </w:pPr>
            <w:r w:rsidRPr="00482F6B">
              <w:rPr>
                <w:rFonts w:ascii="Arial" w:eastAsia="Times New Roman" w:hAnsi="Arial" w:cs="Arial"/>
                <w:b/>
                <w:bCs/>
                <w:color w:val="0000FF"/>
                <w:sz w:val="24"/>
                <w:szCs w:val="24"/>
              </w:rPr>
              <w:t>Column 4</w:t>
            </w:r>
          </w:p>
        </w:tc>
        <w:tc>
          <w:tcPr>
            <w:tcW w:w="0" w:type="auto"/>
            <w:tcBorders>
              <w:bottom w:val="nil"/>
            </w:tcBorders>
            <w:tcMar>
              <w:top w:w="48" w:type="dxa"/>
              <w:left w:w="48" w:type="dxa"/>
              <w:bottom w:w="48" w:type="dxa"/>
              <w:right w:w="48" w:type="dxa"/>
            </w:tcMar>
            <w:hideMark/>
          </w:tcPr>
          <w:p w14:paraId="15993395"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Packing Group/Category.</w:t>
            </w:r>
            <w:r w:rsidRPr="00482F6B">
              <w:rPr>
                <w:rFonts w:ascii="Arial" w:eastAsia="Times New Roman" w:hAnsi="Arial" w:cs="Arial"/>
                <w:b/>
                <w:bCs/>
                <w:color w:val="A50021"/>
              </w:rPr>
              <w:t xml:space="preserve"> </w:t>
            </w:r>
            <w:r w:rsidRPr="00482F6B">
              <w:rPr>
                <w:rFonts w:ascii="Arial" w:eastAsia="Times New Roman" w:hAnsi="Arial" w:cs="Arial"/>
                <w:b/>
                <w:bCs/>
              </w:rPr>
              <w:t>This column gives the packing group or category for the dangerous goods.</w:t>
            </w:r>
          </w:p>
        </w:tc>
      </w:tr>
      <w:tr w:rsidR="00482F6B" w:rsidRPr="00482F6B" w14:paraId="29450FBA" w14:textId="77777777" w:rsidTr="00482F6B">
        <w:tc>
          <w:tcPr>
            <w:tcW w:w="0" w:type="auto"/>
            <w:tcMar>
              <w:top w:w="48" w:type="dxa"/>
              <w:left w:w="48" w:type="dxa"/>
              <w:bottom w:w="48" w:type="dxa"/>
              <w:right w:w="48" w:type="dxa"/>
            </w:tcMar>
            <w:hideMark/>
          </w:tcPr>
          <w:p w14:paraId="49AC0164" w14:textId="77777777" w:rsidR="00482F6B" w:rsidRPr="00482F6B" w:rsidRDefault="00482F6B" w:rsidP="00482F6B">
            <w:pPr>
              <w:spacing w:after="0" w:line="240" w:lineRule="auto"/>
              <w:rPr>
                <w:rFonts w:ascii="Arial" w:eastAsia="Times New Roman" w:hAnsi="Arial" w:cs="Arial"/>
                <w:b/>
                <w:bCs/>
                <w:color w:val="0000FF"/>
                <w:sz w:val="24"/>
                <w:szCs w:val="24"/>
              </w:rPr>
            </w:pPr>
            <w:r w:rsidRPr="00482F6B">
              <w:rPr>
                <w:rFonts w:ascii="Arial" w:eastAsia="Times New Roman" w:hAnsi="Arial" w:cs="Arial"/>
                <w:b/>
                <w:bCs/>
                <w:color w:val="0000FF"/>
                <w:sz w:val="24"/>
                <w:szCs w:val="24"/>
              </w:rPr>
              <w:t>Column 5</w:t>
            </w:r>
          </w:p>
        </w:tc>
        <w:tc>
          <w:tcPr>
            <w:tcW w:w="0" w:type="auto"/>
            <w:tcBorders>
              <w:bottom w:val="nil"/>
            </w:tcBorders>
            <w:tcMar>
              <w:top w:w="48" w:type="dxa"/>
              <w:left w:w="48" w:type="dxa"/>
              <w:bottom w:w="48" w:type="dxa"/>
              <w:right w:w="48" w:type="dxa"/>
            </w:tcMar>
            <w:hideMark/>
          </w:tcPr>
          <w:p w14:paraId="66BE3005"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Special Provisions.</w:t>
            </w:r>
            <w:r w:rsidRPr="00482F6B">
              <w:rPr>
                <w:rFonts w:ascii="Arial" w:eastAsia="Times New Roman" w:hAnsi="Arial" w:cs="Arial"/>
                <w:b/>
                <w:bCs/>
                <w:color w:val="A50021"/>
              </w:rPr>
              <w:t xml:space="preserve"> </w:t>
            </w:r>
            <w:r w:rsidRPr="00482F6B">
              <w:rPr>
                <w:rFonts w:ascii="Arial" w:eastAsia="Times New Roman" w:hAnsi="Arial" w:cs="Arial"/>
                <w:b/>
                <w:bCs/>
              </w:rPr>
              <w:t xml:space="preserve">This column gives the numbers of the special provisions that apply to the dangerous goods. </w:t>
            </w:r>
            <w:r w:rsidRPr="00482F6B">
              <w:rPr>
                <w:rFonts w:ascii="Arial" w:eastAsia="Times New Roman" w:hAnsi="Arial" w:cs="Arial"/>
                <w:b/>
                <w:bCs/>
                <w:highlight w:val="yellow"/>
              </w:rPr>
              <w:t>The special provisions are set out in Schedule 2.</w:t>
            </w:r>
          </w:p>
        </w:tc>
      </w:tr>
      <w:tr w:rsidR="00482F6B" w:rsidRPr="00482F6B" w14:paraId="74AF0C4D" w14:textId="77777777" w:rsidTr="00482F6B">
        <w:tc>
          <w:tcPr>
            <w:tcW w:w="0" w:type="auto"/>
            <w:tcMar>
              <w:top w:w="48" w:type="dxa"/>
              <w:left w:w="48" w:type="dxa"/>
              <w:bottom w:w="48" w:type="dxa"/>
              <w:right w:w="48" w:type="dxa"/>
            </w:tcMar>
            <w:hideMark/>
          </w:tcPr>
          <w:p w14:paraId="5979193A" w14:textId="77777777" w:rsidR="00482F6B" w:rsidRPr="00482F6B" w:rsidRDefault="00482F6B" w:rsidP="00482F6B">
            <w:pPr>
              <w:spacing w:after="0" w:line="240" w:lineRule="auto"/>
              <w:rPr>
                <w:rFonts w:ascii="Arial" w:eastAsia="Times New Roman" w:hAnsi="Arial" w:cs="Arial"/>
                <w:b/>
                <w:bCs/>
                <w:color w:val="0000FF"/>
                <w:sz w:val="24"/>
                <w:szCs w:val="24"/>
              </w:rPr>
            </w:pPr>
            <w:r w:rsidRPr="00482F6B">
              <w:rPr>
                <w:rFonts w:ascii="Arial" w:eastAsia="Times New Roman" w:hAnsi="Arial" w:cs="Arial"/>
                <w:b/>
                <w:bCs/>
                <w:color w:val="0000FF"/>
                <w:sz w:val="24"/>
                <w:szCs w:val="24"/>
              </w:rPr>
              <w:t>Column 6(a)</w:t>
            </w:r>
          </w:p>
        </w:tc>
        <w:tc>
          <w:tcPr>
            <w:tcW w:w="0" w:type="auto"/>
            <w:tcBorders>
              <w:bottom w:val="nil"/>
            </w:tcBorders>
            <w:tcMar>
              <w:top w:w="48" w:type="dxa"/>
              <w:left w:w="48" w:type="dxa"/>
              <w:bottom w:w="48" w:type="dxa"/>
              <w:right w:w="48" w:type="dxa"/>
            </w:tcMar>
            <w:hideMark/>
          </w:tcPr>
          <w:p w14:paraId="15C9AAED"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Explosive Limit and Limited Quantity Index.</w:t>
            </w:r>
            <w:r w:rsidRPr="00482F6B">
              <w:rPr>
                <w:rFonts w:ascii="Arial" w:eastAsia="Times New Roman" w:hAnsi="Arial" w:cs="Arial"/>
                <w:b/>
                <w:bCs/>
              </w:rPr>
              <w:t xml:space="preserve"> This column gives the maximum quantity of dangerous goods that may be handled, offered for transport or transported either in accordance with section 1.17 of Part 1 (Coming into Force, Repeal, Interpretation, General Provisions and Special Cases), in the case of dangerous goods included in any of Classes 2 to 9, or in accordance with section 1.31 of Part 1 (Coming into Force, Repeal, Interpretation, General Provisions and Special Cases), in the case of dangerous goods included in Class 1, Explosives.</w:t>
            </w:r>
          </w:p>
        </w:tc>
      </w:tr>
      <w:tr w:rsidR="00482F6B" w:rsidRPr="00482F6B" w14:paraId="2142463D" w14:textId="77777777" w:rsidTr="00482F6B">
        <w:tc>
          <w:tcPr>
            <w:tcW w:w="0" w:type="auto"/>
            <w:tcMar>
              <w:top w:w="48" w:type="dxa"/>
              <w:left w:w="48" w:type="dxa"/>
              <w:bottom w:w="48" w:type="dxa"/>
              <w:right w:w="48" w:type="dxa"/>
            </w:tcMar>
            <w:hideMark/>
          </w:tcPr>
          <w:p w14:paraId="7A77EDBD" w14:textId="77777777" w:rsidR="00482F6B" w:rsidRPr="00482F6B" w:rsidRDefault="00482F6B" w:rsidP="00482F6B">
            <w:pPr>
              <w:spacing w:after="0" w:line="240" w:lineRule="auto"/>
              <w:rPr>
                <w:rFonts w:ascii="Arial" w:eastAsia="Times New Roman" w:hAnsi="Arial" w:cs="Arial"/>
                <w:b/>
                <w:bCs/>
                <w:sz w:val="24"/>
                <w:szCs w:val="24"/>
              </w:rPr>
            </w:pPr>
            <w:r w:rsidRPr="00482F6B">
              <w:rPr>
                <w:rFonts w:ascii="Arial" w:eastAsia="Times New Roman" w:hAnsi="Arial" w:cs="Arial"/>
                <w:b/>
                <w:bCs/>
                <w:color w:val="0000FF"/>
                <w:sz w:val="24"/>
                <w:szCs w:val="24"/>
              </w:rPr>
              <w:t>Column 6(b)</w:t>
            </w:r>
          </w:p>
        </w:tc>
        <w:tc>
          <w:tcPr>
            <w:tcW w:w="0" w:type="auto"/>
            <w:tcBorders>
              <w:bottom w:val="nil"/>
            </w:tcBorders>
            <w:tcMar>
              <w:top w:w="48" w:type="dxa"/>
              <w:left w:w="48" w:type="dxa"/>
              <w:bottom w:w="48" w:type="dxa"/>
              <w:right w:w="48" w:type="dxa"/>
            </w:tcMar>
            <w:hideMark/>
          </w:tcPr>
          <w:p w14:paraId="65E870F5"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Excepted Quantity Index.</w:t>
            </w:r>
            <w:r w:rsidRPr="00482F6B">
              <w:rPr>
                <w:rFonts w:ascii="Arial" w:eastAsia="Times New Roman" w:hAnsi="Arial" w:cs="Arial"/>
                <w:b/>
                <w:bCs/>
                <w:color w:val="A50021"/>
              </w:rPr>
              <w:t xml:space="preserve"> </w:t>
            </w:r>
            <w:r w:rsidRPr="00482F6B">
              <w:rPr>
                <w:rFonts w:ascii="Arial" w:eastAsia="Times New Roman" w:hAnsi="Arial" w:cs="Arial"/>
                <w:b/>
                <w:bCs/>
              </w:rPr>
              <w:t>This column provides an alphanumeric code, set out in the table to subsection 1.17.1(2) of Part 1 (Coming into Force, Repeal, Interpretation, General Provisions and Special Cases) that indicates the maximum quantity of dangerous goods that may be handled, offered for transport or transported in accordance with section 1.17.1 of Part 1 (Coming into Force, Repeal, Interpretation, General Provisions and Special Cases), in the case of dangerous goods included in any of Classes 2 to 9.</w:t>
            </w:r>
          </w:p>
        </w:tc>
      </w:tr>
      <w:tr w:rsidR="00482F6B" w:rsidRPr="00482F6B" w14:paraId="3E9FCE6B" w14:textId="77777777" w:rsidTr="00482F6B">
        <w:tc>
          <w:tcPr>
            <w:tcW w:w="0" w:type="auto"/>
            <w:vMerge w:val="restart"/>
            <w:tcMar>
              <w:top w:w="48" w:type="dxa"/>
              <w:left w:w="48" w:type="dxa"/>
              <w:bottom w:w="48" w:type="dxa"/>
              <w:right w:w="48" w:type="dxa"/>
            </w:tcMar>
            <w:hideMark/>
          </w:tcPr>
          <w:p w14:paraId="068D66D5" w14:textId="77777777" w:rsidR="00482F6B" w:rsidRPr="00482F6B" w:rsidRDefault="00482F6B" w:rsidP="00482F6B">
            <w:pPr>
              <w:spacing w:after="0" w:line="240" w:lineRule="auto"/>
              <w:rPr>
                <w:rFonts w:ascii="Arial" w:eastAsia="Times New Roman" w:hAnsi="Arial" w:cs="Arial"/>
                <w:b/>
                <w:bCs/>
                <w:sz w:val="24"/>
                <w:szCs w:val="24"/>
              </w:rPr>
            </w:pPr>
            <w:r w:rsidRPr="00482F6B">
              <w:rPr>
                <w:rFonts w:ascii="Arial" w:eastAsia="Times New Roman" w:hAnsi="Arial" w:cs="Arial"/>
                <w:b/>
                <w:bCs/>
                <w:color w:val="0000FF"/>
                <w:sz w:val="24"/>
                <w:szCs w:val="24"/>
              </w:rPr>
              <w:t>Column 7</w:t>
            </w:r>
          </w:p>
        </w:tc>
        <w:tc>
          <w:tcPr>
            <w:tcW w:w="0" w:type="auto"/>
            <w:tcBorders>
              <w:bottom w:val="nil"/>
            </w:tcBorders>
            <w:tcMar>
              <w:top w:w="48" w:type="dxa"/>
              <w:left w:w="48" w:type="dxa"/>
              <w:bottom w:w="48" w:type="dxa"/>
              <w:right w:w="48" w:type="dxa"/>
            </w:tcMar>
            <w:hideMark/>
          </w:tcPr>
          <w:p w14:paraId="79AEB698"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ERAP Index.</w:t>
            </w:r>
            <w:r w:rsidRPr="00482F6B">
              <w:rPr>
                <w:rFonts w:ascii="Arial" w:eastAsia="Times New Roman" w:hAnsi="Arial" w:cs="Arial"/>
                <w:b/>
                <w:bCs/>
                <w:color w:val="A50021"/>
              </w:rPr>
              <w:t xml:space="preserve"> </w:t>
            </w:r>
            <w:r w:rsidRPr="00482F6B">
              <w:rPr>
                <w:rFonts w:ascii="Arial" w:eastAsia="Times New Roman" w:hAnsi="Arial" w:cs="Arial"/>
                <w:b/>
                <w:bCs/>
              </w:rPr>
              <w:t xml:space="preserve">This column gives the quantity above which an approved ERAP is required in accordance with section 7.1 of </w:t>
            </w:r>
            <w:r w:rsidRPr="00482F6B">
              <w:rPr>
                <w:rFonts w:ascii="Arial" w:eastAsia="Times New Roman" w:hAnsi="Arial" w:cs="Arial"/>
                <w:b/>
                <w:bCs/>
                <w:highlight w:val="yellow"/>
              </w:rPr>
              <w:t>Part 7 (Emergency Response Assistance Plan).</w:t>
            </w:r>
          </w:p>
        </w:tc>
      </w:tr>
      <w:tr w:rsidR="00482F6B" w:rsidRPr="00482F6B" w14:paraId="2E08E876" w14:textId="77777777" w:rsidTr="00482F6B">
        <w:tc>
          <w:tcPr>
            <w:tcW w:w="0" w:type="auto"/>
            <w:vMerge/>
            <w:hideMark/>
          </w:tcPr>
          <w:p w14:paraId="13BEB99D" w14:textId="77777777" w:rsidR="00482F6B" w:rsidRPr="00482F6B" w:rsidRDefault="00482F6B" w:rsidP="00482F6B">
            <w:pPr>
              <w:spacing w:after="48" w:line="240" w:lineRule="auto"/>
              <w:rPr>
                <w:rFonts w:ascii="Arial" w:eastAsia="Times New Roman" w:hAnsi="Arial" w:cs="Arial"/>
                <w:b/>
                <w:bCs/>
              </w:rPr>
            </w:pPr>
          </w:p>
        </w:tc>
        <w:tc>
          <w:tcPr>
            <w:tcW w:w="0" w:type="auto"/>
            <w:tcBorders>
              <w:bottom w:val="nil"/>
            </w:tcBorders>
            <w:tcMar>
              <w:top w:w="48" w:type="dxa"/>
              <w:left w:w="48" w:type="dxa"/>
              <w:bottom w:w="48" w:type="dxa"/>
              <w:right w:w="48" w:type="dxa"/>
            </w:tcMar>
            <w:hideMark/>
          </w:tcPr>
          <w:p w14:paraId="16E36E3D"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The quantity is expressed in kilograms for solids, in litres for liquids, and, for gases, as the capacity in litres of the means of containment. For Class 1, Explosives, the quantity is expressed either in kilograms of net explosives quantity or, if the explosives are subject to special provision 85 or 86, number of articles.</w:t>
            </w:r>
          </w:p>
        </w:tc>
      </w:tr>
      <w:tr w:rsidR="00482F6B" w:rsidRPr="00482F6B" w14:paraId="5B11C05F" w14:textId="77777777" w:rsidTr="00482F6B">
        <w:tc>
          <w:tcPr>
            <w:tcW w:w="0" w:type="auto"/>
            <w:vMerge/>
            <w:hideMark/>
          </w:tcPr>
          <w:p w14:paraId="26CAC997" w14:textId="77777777" w:rsidR="00482F6B" w:rsidRPr="00482F6B" w:rsidRDefault="00482F6B" w:rsidP="00482F6B">
            <w:pPr>
              <w:spacing w:after="48" w:line="240" w:lineRule="auto"/>
              <w:rPr>
                <w:rFonts w:ascii="Arial" w:eastAsia="Times New Roman" w:hAnsi="Arial" w:cs="Arial"/>
                <w:b/>
                <w:bCs/>
              </w:rPr>
            </w:pPr>
          </w:p>
        </w:tc>
        <w:tc>
          <w:tcPr>
            <w:tcW w:w="0" w:type="auto"/>
            <w:tcBorders>
              <w:bottom w:val="nil"/>
            </w:tcBorders>
            <w:tcMar>
              <w:top w:w="48" w:type="dxa"/>
              <w:left w:w="48" w:type="dxa"/>
              <w:bottom w:w="48" w:type="dxa"/>
              <w:right w:w="48" w:type="dxa"/>
            </w:tcMar>
            <w:hideMark/>
          </w:tcPr>
          <w:p w14:paraId="4CA46DB6"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For dangerous goods included in Class 3, Flammable Liquids, with the UN number UN1170, UN1202, UN1203, UN1267, UN1268, UN1863, UN1987, UN1993, UN3295, UN3475 or UN3494, see paragraph 7.2(1)(f) of Part 7 (Emergency Response Assistance Plan), which sets out the ERAP requirements for those dangerous goods. For Class 6.2, Infectious Substances, see paragraph 7.2(1)(g) of Part 7 (Emergency Response Assistance Plan), which sets out the ERAP requirements for certain human pathogens.</w:t>
            </w:r>
          </w:p>
        </w:tc>
      </w:tr>
      <w:tr w:rsidR="00482F6B" w:rsidRPr="00482F6B" w14:paraId="2A774476" w14:textId="77777777" w:rsidTr="00482F6B">
        <w:tc>
          <w:tcPr>
            <w:tcW w:w="0" w:type="auto"/>
            <w:vMerge/>
            <w:hideMark/>
          </w:tcPr>
          <w:p w14:paraId="530DF3DF" w14:textId="77777777" w:rsidR="00482F6B" w:rsidRPr="00482F6B" w:rsidRDefault="00482F6B" w:rsidP="00482F6B">
            <w:pPr>
              <w:spacing w:after="48" w:line="240" w:lineRule="auto"/>
              <w:rPr>
                <w:rFonts w:ascii="Arial" w:eastAsia="Times New Roman" w:hAnsi="Arial" w:cs="Arial"/>
                <w:b/>
                <w:bCs/>
              </w:rPr>
            </w:pPr>
          </w:p>
        </w:tc>
        <w:tc>
          <w:tcPr>
            <w:tcW w:w="0" w:type="auto"/>
            <w:tcBorders>
              <w:bottom w:val="nil"/>
            </w:tcBorders>
            <w:tcMar>
              <w:top w:w="48" w:type="dxa"/>
              <w:left w:w="48" w:type="dxa"/>
              <w:bottom w:w="48" w:type="dxa"/>
              <w:right w:w="48" w:type="dxa"/>
            </w:tcMar>
            <w:hideMark/>
          </w:tcPr>
          <w:p w14:paraId="59519969"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The quantity applies to the row in this Schedule in which it appears. For example, UN1986 may require an ERAP for Packing Group I but not for Packing Group II or III.</w:t>
            </w:r>
          </w:p>
        </w:tc>
      </w:tr>
      <w:tr w:rsidR="00482F6B" w:rsidRPr="00482F6B" w14:paraId="63247776" w14:textId="77777777" w:rsidTr="00482F6B">
        <w:tc>
          <w:tcPr>
            <w:tcW w:w="0" w:type="auto"/>
            <w:vMerge/>
            <w:hideMark/>
          </w:tcPr>
          <w:p w14:paraId="3C8A2B40" w14:textId="77777777" w:rsidR="00482F6B" w:rsidRPr="00482F6B" w:rsidRDefault="00482F6B" w:rsidP="00482F6B">
            <w:pPr>
              <w:spacing w:after="48" w:line="240" w:lineRule="auto"/>
              <w:rPr>
                <w:rFonts w:ascii="Arial" w:eastAsia="Times New Roman" w:hAnsi="Arial" w:cs="Arial"/>
                <w:b/>
                <w:bCs/>
              </w:rPr>
            </w:pPr>
          </w:p>
        </w:tc>
        <w:tc>
          <w:tcPr>
            <w:tcW w:w="0" w:type="auto"/>
            <w:tcBorders>
              <w:bottom w:val="nil"/>
            </w:tcBorders>
            <w:tcMar>
              <w:top w:w="48" w:type="dxa"/>
              <w:left w:w="48" w:type="dxa"/>
              <w:bottom w:w="48" w:type="dxa"/>
              <w:right w:w="48" w:type="dxa"/>
            </w:tcMar>
            <w:hideMark/>
          </w:tcPr>
          <w:p w14:paraId="1BA9FB90"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If no index is shown, an ERAP is not required unless the dangerous goods are subject to special provision 84 or 150.</w:t>
            </w:r>
          </w:p>
        </w:tc>
      </w:tr>
      <w:tr w:rsidR="00482F6B" w:rsidRPr="00482F6B" w14:paraId="40DE2F5F" w14:textId="77777777" w:rsidTr="00482F6B">
        <w:tc>
          <w:tcPr>
            <w:tcW w:w="0" w:type="auto"/>
            <w:vMerge w:val="restart"/>
            <w:tcMar>
              <w:top w:w="48" w:type="dxa"/>
              <w:left w:w="48" w:type="dxa"/>
              <w:bottom w:w="48" w:type="dxa"/>
              <w:right w:w="48" w:type="dxa"/>
            </w:tcMar>
            <w:hideMark/>
          </w:tcPr>
          <w:p w14:paraId="0907D3E5" w14:textId="77777777" w:rsidR="00482F6B" w:rsidRPr="00482F6B" w:rsidRDefault="00482F6B" w:rsidP="00482F6B">
            <w:pPr>
              <w:spacing w:after="0" w:line="240" w:lineRule="auto"/>
              <w:rPr>
                <w:rFonts w:ascii="Arial" w:eastAsia="Times New Roman" w:hAnsi="Arial" w:cs="Arial"/>
                <w:b/>
                <w:bCs/>
                <w:color w:val="0000FF"/>
                <w:sz w:val="24"/>
                <w:szCs w:val="24"/>
              </w:rPr>
            </w:pPr>
            <w:r w:rsidRPr="00482F6B">
              <w:rPr>
                <w:rFonts w:ascii="Arial" w:eastAsia="Times New Roman" w:hAnsi="Arial" w:cs="Arial"/>
                <w:b/>
                <w:bCs/>
                <w:color w:val="0000FF"/>
                <w:sz w:val="24"/>
                <w:szCs w:val="24"/>
              </w:rPr>
              <w:t>Column 8</w:t>
            </w:r>
          </w:p>
        </w:tc>
        <w:tc>
          <w:tcPr>
            <w:tcW w:w="0" w:type="auto"/>
            <w:tcBorders>
              <w:bottom w:val="nil"/>
            </w:tcBorders>
            <w:tcMar>
              <w:top w:w="48" w:type="dxa"/>
              <w:left w:w="48" w:type="dxa"/>
              <w:bottom w:w="48" w:type="dxa"/>
              <w:right w:w="48" w:type="dxa"/>
            </w:tcMar>
            <w:hideMark/>
          </w:tcPr>
          <w:p w14:paraId="0C58AC7F" w14:textId="57DC20BA"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Passenger Carrying Vessel Index.</w:t>
            </w:r>
            <w:r w:rsidRPr="00482F6B">
              <w:rPr>
                <w:rFonts w:ascii="Arial" w:eastAsia="Times New Roman" w:hAnsi="Arial" w:cs="Arial"/>
                <w:b/>
                <w:bCs/>
                <w:color w:val="A50021"/>
              </w:rPr>
              <w:t xml:space="preserve"> </w:t>
            </w:r>
            <w:r w:rsidRPr="00482F6B">
              <w:rPr>
                <w:rFonts w:ascii="Arial" w:eastAsia="Times New Roman" w:hAnsi="Arial" w:cs="Arial"/>
                <w:b/>
                <w:bCs/>
              </w:rPr>
              <w:t xml:space="preserve">This column gives the maximum quantity of dangerous goods that may be transported, per means of containment, on board a passenger carrying vessel. The quantity limit is expressed in kilograms for solids, in </w:t>
            </w:r>
            <w:r w:rsidR="002B7D98" w:rsidRPr="00482F6B">
              <w:rPr>
                <w:rFonts w:ascii="Arial" w:eastAsia="Times New Roman" w:hAnsi="Arial" w:cs="Arial"/>
                <w:b/>
                <w:bCs/>
              </w:rPr>
              <w:t>lite</w:t>
            </w:r>
            <w:r w:rsidR="002B7D98">
              <w:rPr>
                <w:rFonts w:ascii="Arial" w:eastAsia="Times New Roman" w:hAnsi="Arial" w:cs="Arial"/>
                <w:b/>
                <w:bCs/>
              </w:rPr>
              <w:t>r</w:t>
            </w:r>
            <w:r w:rsidR="002B7D98" w:rsidRPr="00482F6B">
              <w:rPr>
                <w:rFonts w:ascii="Arial" w:eastAsia="Times New Roman" w:hAnsi="Arial" w:cs="Arial"/>
                <w:b/>
                <w:bCs/>
              </w:rPr>
              <w:t>s</w:t>
            </w:r>
            <w:r w:rsidRPr="00482F6B">
              <w:rPr>
                <w:rFonts w:ascii="Arial" w:eastAsia="Times New Roman" w:hAnsi="Arial" w:cs="Arial"/>
                <w:b/>
                <w:bCs/>
              </w:rPr>
              <w:t xml:space="preserve"> for liquids, and, for gases, as the capacity in </w:t>
            </w:r>
            <w:r w:rsidR="002B7D98" w:rsidRPr="00482F6B">
              <w:rPr>
                <w:rFonts w:ascii="Arial" w:eastAsia="Times New Roman" w:hAnsi="Arial" w:cs="Arial"/>
                <w:b/>
                <w:bCs/>
              </w:rPr>
              <w:t>liters</w:t>
            </w:r>
            <w:r w:rsidRPr="00482F6B">
              <w:rPr>
                <w:rFonts w:ascii="Arial" w:eastAsia="Times New Roman" w:hAnsi="Arial" w:cs="Arial"/>
                <w:b/>
                <w:bCs/>
              </w:rPr>
              <w:t xml:space="preserve"> of the means of containment. For Class 1, Explosives, the quantity is expressed either in kilograms of net explosives quantity or, if the explosives are subject to special provision 85 or 86, in number of articles. There may be special stowage requirements or restrictions for some of these dangerous goods, and the consignor should contact the marine carrier for more information.</w:t>
            </w:r>
          </w:p>
        </w:tc>
      </w:tr>
      <w:tr w:rsidR="00482F6B" w:rsidRPr="00482F6B" w14:paraId="7D93835C" w14:textId="77777777" w:rsidTr="00482F6B">
        <w:tc>
          <w:tcPr>
            <w:tcW w:w="0" w:type="auto"/>
            <w:vMerge/>
            <w:hideMark/>
          </w:tcPr>
          <w:p w14:paraId="26CC21EF" w14:textId="77777777" w:rsidR="00482F6B" w:rsidRPr="00482F6B" w:rsidRDefault="00482F6B" w:rsidP="00482F6B">
            <w:pPr>
              <w:spacing w:after="48" w:line="240" w:lineRule="auto"/>
              <w:rPr>
                <w:rFonts w:ascii="Arial" w:eastAsia="Times New Roman" w:hAnsi="Arial" w:cs="Arial"/>
                <w:b/>
                <w:bCs/>
              </w:rPr>
            </w:pPr>
          </w:p>
        </w:tc>
        <w:tc>
          <w:tcPr>
            <w:tcW w:w="0" w:type="auto"/>
            <w:tcBorders>
              <w:bottom w:val="nil"/>
            </w:tcBorders>
            <w:tcMar>
              <w:top w:w="48" w:type="dxa"/>
              <w:left w:w="48" w:type="dxa"/>
              <w:bottom w:w="48" w:type="dxa"/>
              <w:right w:w="48" w:type="dxa"/>
            </w:tcMar>
            <w:hideMark/>
          </w:tcPr>
          <w:p w14:paraId="003EA02D"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The word “Forbidden” in this column means that the dangerous goods must not be transported in any quantity on board a passenger carrying vessel.</w:t>
            </w:r>
          </w:p>
        </w:tc>
      </w:tr>
      <w:tr w:rsidR="00482F6B" w:rsidRPr="00482F6B" w14:paraId="2E873CA1" w14:textId="77777777" w:rsidTr="00482F6B">
        <w:tc>
          <w:tcPr>
            <w:tcW w:w="0" w:type="auto"/>
            <w:vMerge/>
            <w:hideMark/>
          </w:tcPr>
          <w:p w14:paraId="1F23564A" w14:textId="77777777" w:rsidR="00482F6B" w:rsidRPr="00482F6B" w:rsidRDefault="00482F6B" w:rsidP="00482F6B">
            <w:pPr>
              <w:spacing w:after="48" w:line="240" w:lineRule="auto"/>
              <w:rPr>
                <w:rFonts w:ascii="Arial" w:eastAsia="Times New Roman" w:hAnsi="Arial" w:cs="Arial"/>
                <w:b/>
                <w:bCs/>
              </w:rPr>
            </w:pPr>
          </w:p>
        </w:tc>
        <w:tc>
          <w:tcPr>
            <w:tcW w:w="0" w:type="auto"/>
            <w:tcBorders>
              <w:bottom w:val="nil"/>
            </w:tcBorders>
            <w:tcMar>
              <w:top w:w="48" w:type="dxa"/>
              <w:left w:w="48" w:type="dxa"/>
              <w:bottom w:w="48" w:type="dxa"/>
              <w:right w:w="48" w:type="dxa"/>
            </w:tcMar>
            <w:hideMark/>
          </w:tcPr>
          <w:p w14:paraId="29B20C1B"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If no index number is shown, there is no quantity limit.</w:t>
            </w:r>
          </w:p>
        </w:tc>
      </w:tr>
      <w:tr w:rsidR="00482F6B" w:rsidRPr="00482F6B" w14:paraId="70F43641" w14:textId="77777777" w:rsidTr="00482F6B">
        <w:tc>
          <w:tcPr>
            <w:tcW w:w="0" w:type="auto"/>
            <w:vMerge w:val="restart"/>
            <w:tcMar>
              <w:top w:w="48" w:type="dxa"/>
              <w:left w:w="48" w:type="dxa"/>
              <w:bottom w:w="48" w:type="dxa"/>
              <w:right w:w="48" w:type="dxa"/>
            </w:tcMar>
            <w:hideMark/>
          </w:tcPr>
          <w:p w14:paraId="152DB7A5" w14:textId="4D7D2BF8" w:rsidR="00482F6B" w:rsidRPr="00482F6B" w:rsidRDefault="00482F6B" w:rsidP="00482F6B">
            <w:pPr>
              <w:spacing w:after="0" w:line="240" w:lineRule="auto"/>
              <w:rPr>
                <w:rFonts w:ascii="Arial" w:eastAsia="Times New Roman" w:hAnsi="Arial" w:cs="Arial"/>
                <w:b/>
                <w:bCs/>
                <w:color w:val="0000FF"/>
                <w:sz w:val="24"/>
                <w:szCs w:val="24"/>
              </w:rPr>
            </w:pPr>
            <w:r w:rsidRPr="00482F6B">
              <w:rPr>
                <w:rFonts w:ascii="Arial" w:eastAsia="Times New Roman" w:hAnsi="Arial" w:cs="Arial"/>
                <w:b/>
                <w:bCs/>
                <w:color w:val="0000FF"/>
                <w:sz w:val="24"/>
                <w:szCs w:val="24"/>
              </w:rPr>
              <w:t>Column</w:t>
            </w:r>
            <w:r w:rsidR="006455FB" w:rsidRPr="004F4342">
              <w:rPr>
                <w:rFonts w:ascii="Arial" w:eastAsia="Times New Roman" w:hAnsi="Arial" w:cs="Arial"/>
                <w:b/>
                <w:bCs/>
                <w:color w:val="0000FF"/>
                <w:sz w:val="24"/>
                <w:szCs w:val="24"/>
              </w:rPr>
              <w:t xml:space="preserve"> </w:t>
            </w:r>
            <w:r w:rsidRPr="00482F6B">
              <w:rPr>
                <w:rFonts w:ascii="Arial" w:eastAsia="Times New Roman" w:hAnsi="Arial" w:cs="Arial"/>
                <w:b/>
                <w:bCs/>
                <w:color w:val="0000FF"/>
                <w:sz w:val="24"/>
                <w:szCs w:val="24"/>
              </w:rPr>
              <w:t>9</w:t>
            </w:r>
          </w:p>
        </w:tc>
        <w:tc>
          <w:tcPr>
            <w:tcW w:w="0" w:type="auto"/>
            <w:tcBorders>
              <w:bottom w:val="nil"/>
            </w:tcBorders>
            <w:tcMar>
              <w:top w:w="48" w:type="dxa"/>
              <w:left w:w="48" w:type="dxa"/>
              <w:bottom w:w="48" w:type="dxa"/>
              <w:right w:w="48" w:type="dxa"/>
            </w:tcMar>
            <w:hideMark/>
          </w:tcPr>
          <w:p w14:paraId="15EAEF8A" w14:textId="30A1B60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color w:val="A50021"/>
                <w:u w:val="dash"/>
              </w:rPr>
              <w:t>Passenger Carrying Road Vehicle or Passenger Carrying Railway Vehicle Index.</w:t>
            </w:r>
            <w:r w:rsidRPr="00482F6B">
              <w:rPr>
                <w:rFonts w:ascii="Arial" w:eastAsia="Times New Roman" w:hAnsi="Arial" w:cs="Arial"/>
                <w:b/>
                <w:bCs/>
                <w:color w:val="A50021"/>
              </w:rPr>
              <w:t xml:space="preserve"> </w:t>
            </w:r>
            <w:r w:rsidRPr="00482F6B">
              <w:rPr>
                <w:rFonts w:ascii="Arial" w:eastAsia="Times New Roman" w:hAnsi="Arial" w:cs="Arial"/>
                <w:b/>
                <w:bCs/>
              </w:rPr>
              <w:t>This column gives the maximum quantity of dangerous goods that may be transported, per means of containment, on board a passenger carrying road vehicle or a passenger carrying railway vehicle. The quantity limit is expressed in kilograms for solids, in litres for liquids, and, for gases, as the capacity in lite</w:t>
            </w:r>
            <w:r w:rsidR="002B7D98">
              <w:rPr>
                <w:rFonts w:ascii="Arial" w:eastAsia="Times New Roman" w:hAnsi="Arial" w:cs="Arial"/>
                <w:b/>
                <w:bCs/>
              </w:rPr>
              <w:t>r</w:t>
            </w:r>
            <w:r w:rsidRPr="00482F6B">
              <w:rPr>
                <w:rFonts w:ascii="Arial" w:eastAsia="Times New Roman" w:hAnsi="Arial" w:cs="Arial"/>
                <w:b/>
                <w:bCs/>
              </w:rPr>
              <w:t>s of the means of containment. For Class 1, Explosives, the quantity is expressed either in kilograms of net explosives quantity or, if the explosives are subject to special provision 85 or 86, in number of articles.</w:t>
            </w:r>
          </w:p>
        </w:tc>
      </w:tr>
      <w:tr w:rsidR="00482F6B" w:rsidRPr="00482F6B" w14:paraId="492F071C" w14:textId="77777777" w:rsidTr="00482F6B">
        <w:tc>
          <w:tcPr>
            <w:tcW w:w="0" w:type="auto"/>
            <w:vMerge/>
            <w:hideMark/>
          </w:tcPr>
          <w:p w14:paraId="63D2537F" w14:textId="77777777" w:rsidR="00482F6B" w:rsidRPr="00482F6B" w:rsidRDefault="00482F6B" w:rsidP="00482F6B">
            <w:pPr>
              <w:spacing w:after="48" w:line="240" w:lineRule="auto"/>
              <w:rPr>
                <w:rFonts w:ascii="Arial" w:eastAsia="Times New Roman" w:hAnsi="Arial" w:cs="Arial"/>
                <w:b/>
                <w:bCs/>
              </w:rPr>
            </w:pPr>
          </w:p>
        </w:tc>
        <w:tc>
          <w:tcPr>
            <w:tcW w:w="0" w:type="auto"/>
            <w:tcBorders>
              <w:bottom w:val="nil"/>
            </w:tcBorders>
            <w:tcMar>
              <w:top w:w="48" w:type="dxa"/>
              <w:left w:w="48" w:type="dxa"/>
              <w:bottom w:w="48" w:type="dxa"/>
              <w:right w:w="48" w:type="dxa"/>
            </w:tcMar>
            <w:hideMark/>
          </w:tcPr>
          <w:p w14:paraId="16DA20F5"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The word “Forbidden” in this column means that the dangerous goods must not be transported in any quantity on board a passenger carrying road vehicle or a passenger carrying railway vehicle.</w:t>
            </w:r>
          </w:p>
        </w:tc>
      </w:tr>
      <w:tr w:rsidR="00482F6B" w:rsidRPr="00482F6B" w14:paraId="573F6EE0" w14:textId="77777777" w:rsidTr="00482F6B">
        <w:tc>
          <w:tcPr>
            <w:tcW w:w="0" w:type="auto"/>
            <w:vMerge/>
            <w:hideMark/>
          </w:tcPr>
          <w:p w14:paraId="2C30882D" w14:textId="77777777" w:rsidR="00482F6B" w:rsidRPr="00482F6B" w:rsidRDefault="00482F6B" w:rsidP="00482F6B">
            <w:pPr>
              <w:spacing w:after="48" w:line="240" w:lineRule="auto"/>
              <w:rPr>
                <w:rFonts w:ascii="Arial" w:eastAsia="Times New Roman" w:hAnsi="Arial" w:cs="Arial"/>
                <w:b/>
                <w:bCs/>
              </w:rPr>
            </w:pPr>
          </w:p>
        </w:tc>
        <w:tc>
          <w:tcPr>
            <w:tcW w:w="0" w:type="auto"/>
            <w:tcMar>
              <w:top w:w="48" w:type="dxa"/>
              <w:left w:w="48" w:type="dxa"/>
              <w:bottom w:w="48" w:type="dxa"/>
              <w:right w:w="48" w:type="dxa"/>
            </w:tcMar>
            <w:hideMark/>
          </w:tcPr>
          <w:p w14:paraId="5CE4F95E" w14:textId="77777777" w:rsidR="00482F6B" w:rsidRPr="00482F6B" w:rsidRDefault="00482F6B" w:rsidP="00482F6B">
            <w:pPr>
              <w:spacing w:after="0" w:line="240" w:lineRule="auto"/>
              <w:rPr>
                <w:rFonts w:ascii="Arial" w:eastAsia="Times New Roman" w:hAnsi="Arial" w:cs="Arial"/>
                <w:b/>
                <w:bCs/>
              </w:rPr>
            </w:pPr>
            <w:r w:rsidRPr="00482F6B">
              <w:rPr>
                <w:rFonts w:ascii="Arial" w:eastAsia="Times New Roman" w:hAnsi="Arial" w:cs="Arial"/>
                <w:b/>
                <w:bCs/>
              </w:rPr>
              <w:t>If no index number is shown, there is no quantity limit.</w:t>
            </w:r>
          </w:p>
        </w:tc>
      </w:tr>
    </w:tbl>
    <w:p w14:paraId="1425E747" w14:textId="77777777" w:rsidR="004F4342" w:rsidRDefault="004F4342" w:rsidP="006455FB">
      <w:pPr>
        <w:spacing w:after="0" w:line="240" w:lineRule="auto"/>
        <w:rPr>
          <w:rFonts w:ascii="Arial" w:eastAsia="Times New Roman" w:hAnsi="Arial" w:cs="Arial"/>
          <w:b/>
          <w:bCs/>
          <w:color w:val="A50021"/>
          <w:highlight w:val="yellow"/>
          <w:u w:val="dash"/>
        </w:rPr>
      </w:pPr>
      <w:r>
        <w:rPr>
          <w:rFonts w:ascii="Arial" w:eastAsia="Times New Roman" w:hAnsi="Arial" w:cs="Arial"/>
          <w:b/>
          <w:bCs/>
          <w:color w:val="A50021"/>
          <w:highlight w:val="yellow"/>
          <w:u w:val="dash"/>
        </w:rPr>
        <w:t xml:space="preserve"> </w:t>
      </w:r>
    </w:p>
    <w:p w14:paraId="6B504CA1" w14:textId="34ED7172" w:rsidR="0009747A" w:rsidRPr="004F4342" w:rsidRDefault="006455FB" w:rsidP="006455FB">
      <w:pPr>
        <w:spacing w:after="0" w:line="240" w:lineRule="auto"/>
        <w:rPr>
          <w:rFonts w:ascii="Arial Nova" w:eastAsia="Times New Roman" w:hAnsi="Arial Nova" w:cs="Times New Roman"/>
          <w:b/>
          <w:bCs/>
          <w:color w:val="A50021"/>
          <w:sz w:val="32"/>
          <w:szCs w:val="32"/>
          <w:u w:val="dash"/>
        </w:rPr>
      </w:pPr>
      <w:r w:rsidRPr="00482F6B">
        <w:rPr>
          <w:rFonts w:ascii="Arial" w:eastAsia="Times New Roman" w:hAnsi="Arial" w:cs="Arial"/>
          <w:b/>
          <w:bCs/>
          <w:color w:val="0000FF"/>
          <w:sz w:val="24"/>
          <w:szCs w:val="24"/>
          <w:highlight w:val="yellow"/>
          <w:u w:val="dash"/>
        </w:rPr>
        <w:t xml:space="preserve">Column </w:t>
      </w:r>
      <w:r w:rsidRPr="004F4342">
        <w:rPr>
          <w:rFonts w:ascii="Arial" w:eastAsia="Times New Roman" w:hAnsi="Arial" w:cs="Arial"/>
          <w:b/>
          <w:bCs/>
          <w:color w:val="0000FF"/>
          <w:sz w:val="24"/>
          <w:szCs w:val="24"/>
          <w:highlight w:val="yellow"/>
          <w:u w:val="dash"/>
        </w:rPr>
        <w:t>10</w:t>
      </w:r>
      <w:r w:rsidRPr="004F4342">
        <w:rPr>
          <w:rFonts w:ascii="Arial" w:eastAsia="Times New Roman" w:hAnsi="Arial" w:cs="Arial"/>
          <w:b/>
          <w:bCs/>
          <w:color w:val="A50021"/>
          <w:highlight w:val="yellow"/>
          <w:u w:val="dash"/>
        </w:rPr>
        <w:t>: IS WHAT AFFECT THE PRODUCT HAS IF IT ENDS UP IN WATER; EXAMPLE A RIVER, LAKE</w:t>
      </w:r>
      <w:r w:rsidR="004F4342" w:rsidRPr="004F4342">
        <w:rPr>
          <w:rFonts w:ascii="Arial" w:eastAsia="Times New Roman" w:hAnsi="Arial" w:cs="Arial"/>
          <w:b/>
          <w:bCs/>
          <w:color w:val="A50021"/>
          <w:highlight w:val="yellow"/>
          <w:u w:val="dash"/>
        </w:rPr>
        <w:t xml:space="preserve">. ETCH. </w:t>
      </w:r>
      <w:r w:rsidRPr="004F4342">
        <w:rPr>
          <w:rFonts w:ascii="Arial" w:eastAsia="Times New Roman" w:hAnsi="Arial" w:cs="Arial"/>
          <w:b/>
          <w:bCs/>
          <w:color w:val="A50021"/>
          <w:highlight w:val="yellow"/>
          <w:u w:val="dash"/>
        </w:rPr>
        <w:t>(P) (PP) 0R</w:t>
      </w:r>
      <w:r w:rsidR="004F4342" w:rsidRPr="004F4342">
        <w:rPr>
          <w:rFonts w:ascii="Arial" w:eastAsia="Times New Roman" w:hAnsi="Arial" w:cs="Arial"/>
          <w:b/>
          <w:bCs/>
          <w:color w:val="A50021"/>
          <w:highlight w:val="yellow"/>
          <w:u w:val="dash"/>
        </w:rPr>
        <w:t xml:space="preserve"> </w:t>
      </w:r>
      <w:r w:rsidR="004F4342" w:rsidRPr="004F4342">
        <w:rPr>
          <w:rFonts w:ascii="Arial Nova" w:eastAsia="Times New Roman" w:hAnsi="Arial Nova" w:cs="Times New Roman"/>
          <w:b/>
          <w:bCs/>
          <w:color w:val="A50021"/>
          <w:sz w:val="32"/>
          <w:szCs w:val="32"/>
          <w:highlight w:val="yellow"/>
          <w:u w:val="dash"/>
        </w:rPr>
        <w:t>(*)</w:t>
      </w:r>
      <w:r w:rsidR="004F4342" w:rsidRPr="004F4342">
        <w:rPr>
          <w:rFonts w:ascii="Arial Nova" w:eastAsia="Times New Roman" w:hAnsi="Arial Nova" w:cs="Times New Roman"/>
          <w:b/>
          <w:bCs/>
          <w:color w:val="A50021"/>
          <w:sz w:val="32"/>
          <w:szCs w:val="32"/>
          <w:u w:val="dash"/>
        </w:rPr>
        <w:t xml:space="preserve"> </w:t>
      </w:r>
    </w:p>
    <w:sectPr w:rsidR="0009747A" w:rsidRPr="004F43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3C29" w14:textId="77777777" w:rsidR="007907DC" w:rsidRDefault="007907DC" w:rsidP="006455FB">
      <w:pPr>
        <w:spacing w:after="0" w:line="240" w:lineRule="auto"/>
      </w:pPr>
      <w:r>
        <w:separator/>
      </w:r>
    </w:p>
  </w:endnote>
  <w:endnote w:type="continuationSeparator" w:id="0">
    <w:p w14:paraId="693273AE" w14:textId="77777777" w:rsidR="007907DC" w:rsidRDefault="007907DC" w:rsidP="0064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29B9" w14:textId="51B2807E" w:rsidR="006455FB" w:rsidRPr="006455FB" w:rsidRDefault="006455FB">
    <w:pPr>
      <w:pStyle w:val="Footer"/>
      <w:rPr>
        <w:b/>
        <w:bCs/>
        <w:sz w:val="24"/>
        <w:szCs w:val="24"/>
      </w:rPr>
    </w:pPr>
    <w:r>
      <w:rPr>
        <w:noProof/>
        <w:color w:val="4472C4" w:themeColor="accent1"/>
      </w:rPr>
      <mc:AlternateContent>
        <mc:Choice Requires="wps">
          <w:drawing>
            <wp:anchor distT="0" distB="0" distL="114300" distR="114300" simplePos="0" relativeHeight="251659264" behindDoc="0" locked="0" layoutInCell="1" allowOverlap="1" wp14:anchorId="200F0F51" wp14:editId="7CCB571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BE8A8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6455FB">
      <w:rPr>
        <w:rFonts w:asciiTheme="majorHAnsi" w:eastAsiaTheme="majorEastAsia" w:hAnsiTheme="majorHAnsi" w:cstheme="majorBidi"/>
        <w:b/>
        <w:bCs/>
        <w:color w:val="000000" w:themeColor="text1"/>
        <w:sz w:val="24"/>
        <w:szCs w:val="24"/>
      </w:rPr>
      <w:t xml:space="preserve">pg. </w:t>
    </w:r>
    <w:r w:rsidRPr="006455FB">
      <w:rPr>
        <w:rFonts w:eastAsiaTheme="minorEastAsia"/>
        <w:b/>
        <w:bCs/>
        <w:color w:val="000000" w:themeColor="text1"/>
        <w:sz w:val="24"/>
        <w:szCs w:val="24"/>
      </w:rPr>
      <w:fldChar w:fldCharType="begin"/>
    </w:r>
    <w:r w:rsidRPr="006455FB">
      <w:rPr>
        <w:b/>
        <w:bCs/>
        <w:color w:val="000000" w:themeColor="text1"/>
        <w:sz w:val="24"/>
        <w:szCs w:val="24"/>
      </w:rPr>
      <w:instrText xml:space="preserve"> PAGE    \* MERGEFORMAT </w:instrText>
    </w:r>
    <w:r w:rsidRPr="006455FB">
      <w:rPr>
        <w:rFonts w:eastAsiaTheme="minorEastAsia"/>
        <w:b/>
        <w:bCs/>
        <w:color w:val="000000" w:themeColor="text1"/>
        <w:sz w:val="24"/>
        <w:szCs w:val="24"/>
      </w:rPr>
      <w:fldChar w:fldCharType="separate"/>
    </w:r>
    <w:r w:rsidRPr="006455FB">
      <w:rPr>
        <w:rFonts w:asciiTheme="majorHAnsi" w:eastAsiaTheme="majorEastAsia" w:hAnsiTheme="majorHAnsi" w:cstheme="majorBidi"/>
        <w:b/>
        <w:bCs/>
        <w:noProof/>
        <w:color w:val="000000" w:themeColor="text1"/>
        <w:sz w:val="24"/>
        <w:szCs w:val="24"/>
      </w:rPr>
      <w:t>2</w:t>
    </w:r>
    <w:r w:rsidRPr="006455FB">
      <w:rPr>
        <w:rFonts w:asciiTheme="majorHAnsi" w:eastAsiaTheme="majorEastAsia" w:hAnsiTheme="majorHAnsi" w:cstheme="majorBidi"/>
        <w:b/>
        <w:bCs/>
        <w:noProof/>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99FD" w14:textId="77777777" w:rsidR="007907DC" w:rsidRDefault="007907DC" w:rsidP="006455FB">
      <w:pPr>
        <w:spacing w:after="0" w:line="240" w:lineRule="auto"/>
      </w:pPr>
      <w:r>
        <w:separator/>
      </w:r>
    </w:p>
  </w:footnote>
  <w:footnote w:type="continuationSeparator" w:id="0">
    <w:p w14:paraId="04524AF9" w14:textId="77777777" w:rsidR="007907DC" w:rsidRDefault="007907DC" w:rsidP="00645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737D" w14:textId="60C9362B" w:rsidR="006455FB" w:rsidRPr="006455FB" w:rsidRDefault="006455FB" w:rsidP="006455FB">
    <w:pPr>
      <w:pStyle w:val="Header"/>
      <w:jc w:val="center"/>
      <w:rPr>
        <w:rFonts w:ascii="Algerian" w:hAnsi="Algerian"/>
        <w:b/>
        <w:bCs/>
        <w:color w:val="C00000"/>
        <w:sz w:val="48"/>
        <w:szCs w:val="48"/>
        <w:u w:val="dash"/>
      </w:rPr>
    </w:pPr>
    <w:r w:rsidRPr="006455FB">
      <w:rPr>
        <w:rFonts w:ascii="Algerian" w:hAnsi="Algerian"/>
        <w:b/>
        <w:bCs/>
        <w:color w:val="C00000"/>
        <w:sz w:val="48"/>
        <w:szCs w:val="48"/>
        <w:u w:val="dash"/>
      </w:rPr>
      <w:t>HOW TO READ SCHEDULE 1 TRANSPORTATION OF DANGEROUS GOODS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6B"/>
    <w:rsid w:val="0009747A"/>
    <w:rsid w:val="002B7D98"/>
    <w:rsid w:val="00482F6B"/>
    <w:rsid w:val="004F4342"/>
    <w:rsid w:val="006455FB"/>
    <w:rsid w:val="007907DC"/>
    <w:rsid w:val="00F9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ED9E"/>
  <w15:chartTrackingRefBased/>
  <w15:docId w15:val="{4672DB32-AFFE-4E52-8BDC-7730A75E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5FB"/>
  </w:style>
  <w:style w:type="paragraph" w:styleId="Footer">
    <w:name w:val="footer"/>
    <w:basedOn w:val="Normal"/>
    <w:link w:val="FooterChar"/>
    <w:uiPriority w:val="99"/>
    <w:unhideWhenUsed/>
    <w:rsid w:val="00645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29885">
      <w:bodyDiv w:val="1"/>
      <w:marLeft w:val="0"/>
      <w:marRight w:val="0"/>
      <w:marTop w:val="0"/>
      <w:marBottom w:val="0"/>
      <w:divBdr>
        <w:top w:val="none" w:sz="0" w:space="0" w:color="auto"/>
        <w:left w:val="none" w:sz="0" w:space="0" w:color="auto"/>
        <w:bottom w:val="none" w:sz="0" w:space="0" w:color="auto"/>
        <w:right w:val="none" w:sz="0" w:space="0" w:color="auto"/>
      </w:divBdr>
      <w:divsChild>
        <w:div w:id="175923157">
          <w:marLeft w:val="0"/>
          <w:marRight w:val="0"/>
          <w:marTop w:val="0"/>
          <w:marBottom w:val="0"/>
          <w:divBdr>
            <w:top w:val="none" w:sz="0" w:space="0" w:color="auto"/>
            <w:left w:val="none" w:sz="0" w:space="0" w:color="auto"/>
            <w:bottom w:val="none" w:sz="0" w:space="0" w:color="auto"/>
            <w:right w:val="none" w:sz="0" w:space="0" w:color="auto"/>
          </w:divBdr>
          <w:divsChild>
            <w:div w:id="2107578920">
              <w:marLeft w:val="0"/>
              <w:marRight w:val="0"/>
              <w:marTop w:val="0"/>
              <w:marBottom w:val="0"/>
              <w:divBdr>
                <w:top w:val="none" w:sz="0" w:space="0" w:color="auto"/>
                <w:left w:val="none" w:sz="0" w:space="0" w:color="auto"/>
                <w:bottom w:val="none" w:sz="0" w:space="0" w:color="auto"/>
                <w:right w:val="none" w:sz="0" w:space="0" w:color="auto"/>
              </w:divBdr>
              <w:divsChild>
                <w:div w:id="1054741802">
                  <w:marLeft w:val="0"/>
                  <w:marRight w:val="0"/>
                  <w:marTop w:val="0"/>
                  <w:marBottom w:val="0"/>
                  <w:divBdr>
                    <w:top w:val="none" w:sz="0" w:space="0" w:color="auto"/>
                    <w:left w:val="none" w:sz="0" w:space="0" w:color="auto"/>
                    <w:bottom w:val="none" w:sz="0" w:space="0" w:color="auto"/>
                    <w:right w:val="none" w:sz="0" w:space="0" w:color="auto"/>
                  </w:divBdr>
                  <w:divsChild>
                    <w:div w:id="1402024932">
                      <w:marLeft w:val="0"/>
                      <w:marRight w:val="0"/>
                      <w:marTop w:val="0"/>
                      <w:marBottom w:val="0"/>
                      <w:divBdr>
                        <w:top w:val="none" w:sz="0" w:space="0" w:color="auto"/>
                        <w:left w:val="none" w:sz="0" w:space="0" w:color="auto"/>
                        <w:bottom w:val="none" w:sz="0" w:space="0" w:color="auto"/>
                        <w:right w:val="none" w:sz="0" w:space="0" w:color="auto"/>
                      </w:divBdr>
                      <w:divsChild>
                        <w:div w:id="3419753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0A7E-C7F3-4703-B75E-EFDF3795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Skotidas</dc:creator>
  <cp:keywords/>
  <dc:description/>
  <cp:lastModifiedBy>George Skotidas</cp:lastModifiedBy>
  <cp:revision>1</cp:revision>
  <dcterms:created xsi:type="dcterms:W3CDTF">2021-09-14T14:56:00Z</dcterms:created>
  <dcterms:modified xsi:type="dcterms:W3CDTF">2021-09-14T17:21:00Z</dcterms:modified>
</cp:coreProperties>
</file>